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7685" w14:textId="7A0AFBC2" w:rsidR="006B1104" w:rsidRDefault="006B1104" w:rsidP="009A1B4E">
      <w:pPr>
        <w:widowControl w:val="0"/>
        <w:pBdr>
          <w:top w:val="nil"/>
          <w:left w:val="nil"/>
          <w:bottom w:val="nil"/>
          <w:right w:val="nil"/>
          <w:between w:val="nil"/>
        </w:pBdr>
        <w:spacing w:before="4" w:after="0" w:line="240" w:lineRule="auto"/>
        <w:ind w:left="2880" w:firstLine="720"/>
        <w:rPr>
          <w:rFonts w:ascii="Aptos Black" w:eastAsia="Times New Roman" w:hAnsi="Aptos Black" w:cs="Times New Roman"/>
          <w:b/>
          <w:color w:val="000000"/>
          <w:kern w:val="0"/>
          <w:lang w:eastAsia="uk-UA"/>
          <w14:ligatures w14:val="none"/>
        </w:rPr>
      </w:pPr>
      <w:r>
        <w:rPr>
          <w:rFonts w:ascii="Aptos Black" w:eastAsia="Times New Roman" w:hAnsi="Aptos Black" w:cs="Times New Roman"/>
          <w:b/>
          <w:color w:val="000000"/>
          <w:kern w:val="0"/>
          <w:lang w:eastAsia="uk-UA"/>
          <w14:ligatures w14:val="none"/>
        </w:rPr>
        <w:t xml:space="preserve">ДОКУМЕНТ </w:t>
      </w:r>
      <w:r w:rsidR="00E76616">
        <w:rPr>
          <w:rFonts w:ascii="Aptos Black" w:eastAsia="Times New Roman" w:hAnsi="Aptos Black" w:cs="Times New Roman"/>
          <w:b/>
          <w:color w:val="000000"/>
          <w:kern w:val="0"/>
          <w:lang w:eastAsia="uk-UA"/>
          <w14:ligatures w14:val="none"/>
        </w:rPr>
        <w:t>1</w:t>
      </w:r>
    </w:p>
    <w:p w14:paraId="39824AF3" w14:textId="7E091AC2" w:rsidR="009A1B4E" w:rsidRPr="009A1B4E" w:rsidRDefault="009A1B4E" w:rsidP="009A1B4E">
      <w:pPr>
        <w:widowControl w:val="0"/>
        <w:pBdr>
          <w:top w:val="nil"/>
          <w:left w:val="nil"/>
          <w:bottom w:val="nil"/>
          <w:right w:val="nil"/>
          <w:between w:val="nil"/>
        </w:pBdr>
        <w:spacing w:before="4" w:after="0" w:line="240" w:lineRule="auto"/>
        <w:ind w:left="2880" w:firstLine="720"/>
        <w:rPr>
          <w:rFonts w:ascii="Aptos Black" w:eastAsia="Times New Roman" w:hAnsi="Aptos Black" w:cs="Times New Roman"/>
          <w:b/>
          <w:color w:val="000000"/>
          <w:kern w:val="0"/>
          <w:lang w:eastAsia="uk-UA"/>
          <w14:ligatures w14:val="none"/>
        </w:rPr>
      </w:pPr>
      <w:r w:rsidRPr="009A1B4E">
        <w:rPr>
          <w:rFonts w:ascii="Aptos Black" w:eastAsia="Times New Roman" w:hAnsi="Aptos Black" w:cs="Times New Roman"/>
          <w:b/>
          <w:color w:val="000000"/>
          <w:kern w:val="0"/>
          <w:lang w:eastAsia="uk-UA"/>
          <w14:ligatures w14:val="none"/>
        </w:rPr>
        <w:t xml:space="preserve">Звіт про статутну діяльність </w:t>
      </w:r>
    </w:p>
    <w:p w14:paraId="5682134F" w14:textId="77777777" w:rsidR="009A1B4E" w:rsidRPr="009A1B4E" w:rsidRDefault="009A1B4E" w:rsidP="009A1B4E">
      <w:pPr>
        <w:widowControl w:val="0"/>
        <w:pBdr>
          <w:top w:val="nil"/>
          <w:left w:val="nil"/>
          <w:bottom w:val="nil"/>
          <w:right w:val="nil"/>
          <w:between w:val="nil"/>
        </w:pBdr>
        <w:spacing w:after="0" w:line="244" w:lineRule="auto"/>
        <w:ind w:left="140" w:right="128" w:firstLine="426"/>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 xml:space="preserve">БЛАГОДІЙНОЇ ОРГАНІЗАЦІЇ «БЛАГОДІЙНИЙ ФОНД «ПАРЛАМЕНТСЬКИЙ КЛУБ НЕУРЯДОВИХ ОРГАНІЗАЦІЙ», код за </w:t>
      </w:r>
      <w:r w:rsidRPr="009A1B4E">
        <w:rPr>
          <w:rFonts w:ascii="Times New Roman" w:eastAsia="Times New Roman" w:hAnsi="Times New Roman" w:cs="Times New Roman"/>
          <w:kern w:val="0"/>
          <w:sz w:val="22"/>
          <w:szCs w:val="22"/>
          <w:lang w:eastAsia="uk-UA"/>
          <w14:ligatures w14:val="none"/>
        </w:rPr>
        <w:t xml:space="preserve">ЄДРПОУ 35727783 </w:t>
      </w:r>
      <w:r w:rsidRPr="009A1B4E">
        <w:rPr>
          <w:rFonts w:ascii="Times New Roman" w:eastAsia="Times New Roman" w:hAnsi="Times New Roman" w:cs="Times New Roman"/>
          <w:color w:val="000000"/>
          <w:kern w:val="0"/>
          <w:sz w:val="22"/>
          <w:szCs w:val="22"/>
          <w:lang w:eastAsia="uk-UA"/>
          <w14:ligatures w14:val="none"/>
        </w:rPr>
        <w:t>(</w:t>
      </w:r>
      <w:r w:rsidRPr="009A1B4E">
        <w:rPr>
          <w:rFonts w:ascii="Times New Roman" w:eastAsia="Times New Roman" w:hAnsi="Times New Roman" w:cs="Times New Roman"/>
          <w:kern w:val="0"/>
          <w:sz w:val="22"/>
          <w:szCs w:val="22"/>
          <w:lang w:eastAsia="uk-UA"/>
          <w14:ligatures w14:val="none"/>
        </w:rPr>
        <w:t xml:space="preserve"> далі </w:t>
      </w:r>
      <w:r w:rsidRPr="009A1B4E">
        <w:rPr>
          <w:rFonts w:ascii="Times New Roman" w:eastAsia="Times New Roman" w:hAnsi="Times New Roman" w:cs="Times New Roman"/>
          <w:b/>
          <w:kern w:val="0"/>
          <w:sz w:val="22"/>
          <w:szCs w:val="22"/>
          <w:lang w:eastAsia="uk-UA"/>
          <w14:ligatures w14:val="none"/>
        </w:rPr>
        <w:t>-</w:t>
      </w:r>
      <w:r w:rsidRPr="009A1B4E">
        <w:rPr>
          <w:rFonts w:ascii="Times New Roman" w:eastAsia="Times New Roman" w:hAnsi="Times New Roman" w:cs="Times New Roman"/>
          <w:kern w:val="0"/>
          <w:sz w:val="22"/>
          <w:szCs w:val="22"/>
          <w:lang w:eastAsia="uk-UA"/>
          <w14:ligatures w14:val="none"/>
        </w:rPr>
        <w:t xml:space="preserve"> </w:t>
      </w:r>
      <w:r w:rsidRPr="009A1B4E">
        <w:rPr>
          <w:rFonts w:ascii="Times New Roman" w:eastAsia="Times New Roman" w:hAnsi="Times New Roman" w:cs="Times New Roman"/>
          <w:b/>
          <w:color w:val="000000"/>
          <w:kern w:val="0"/>
          <w:sz w:val="22"/>
          <w:szCs w:val="22"/>
          <w:lang w:eastAsia="uk-UA"/>
          <w14:ligatures w14:val="none"/>
        </w:rPr>
        <w:t>Організація</w:t>
      </w:r>
      <w:r w:rsidRPr="009A1B4E">
        <w:rPr>
          <w:rFonts w:ascii="Times New Roman" w:eastAsia="Times New Roman" w:hAnsi="Times New Roman" w:cs="Times New Roman"/>
          <w:color w:val="000000"/>
          <w:kern w:val="0"/>
          <w:sz w:val="22"/>
          <w:szCs w:val="22"/>
          <w:lang w:eastAsia="uk-UA"/>
          <w14:ligatures w14:val="none"/>
        </w:rPr>
        <w:t xml:space="preserve">), в особі її Голови: Спорникова Олега Олександровича діючи у відповідності до частини 3 Додатку 7 до Положення про здійснення </w:t>
      </w:r>
      <w:r w:rsidRPr="009A1B4E">
        <w:rPr>
          <w:rFonts w:ascii="Times New Roman" w:eastAsia="Times New Roman" w:hAnsi="Times New Roman" w:cs="Times New Roman"/>
          <w:kern w:val="0"/>
          <w:sz w:val="22"/>
          <w:szCs w:val="22"/>
          <w:lang w:eastAsia="uk-UA"/>
          <w14:ligatures w14:val="none"/>
        </w:rPr>
        <w:t>установами</w:t>
      </w:r>
      <w:r w:rsidRPr="009A1B4E">
        <w:rPr>
          <w:rFonts w:ascii="Times New Roman" w:eastAsia="Times New Roman" w:hAnsi="Times New Roman" w:cs="Times New Roman"/>
          <w:color w:val="000000"/>
          <w:kern w:val="0"/>
          <w:sz w:val="22"/>
          <w:szCs w:val="22"/>
          <w:lang w:eastAsia="uk-UA"/>
          <w14:ligatures w14:val="none"/>
        </w:rPr>
        <w:t xml:space="preserve"> фінансового моніторингу</w:t>
      </w:r>
      <w:r w:rsidRPr="009A1B4E">
        <w:rPr>
          <w:rFonts w:ascii="Times New Roman" w:eastAsia="Times New Roman" w:hAnsi="Times New Roman" w:cs="Times New Roman"/>
          <w:kern w:val="0"/>
          <w:sz w:val="22"/>
          <w:szCs w:val="22"/>
          <w:lang w:eastAsia="uk-UA"/>
          <w14:ligatures w14:val="none"/>
        </w:rPr>
        <w:t>, затвердженого Постановою Правління Національного банку України 28.07.2020 №107</w:t>
      </w:r>
      <w:r w:rsidRPr="009A1B4E">
        <w:rPr>
          <w:rFonts w:ascii="Times New Roman" w:eastAsia="Times New Roman" w:hAnsi="Times New Roman" w:cs="Times New Roman"/>
          <w:color w:val="000000"/>
          <w:kern w:val="0"/>
          <w:sz w:val="22"/>
          <w:szCs w:val="22"/>
          <w:lang w:eastAsia="uk-UA"/>
          <w14:ligatures w14:val="none"/>
        </w:rPr>
        <w:t>, надає наступну інформацію щодо суті та інших аспект</w:t>
      </w:r>
      <w:r w:rsidRPr="009A1B4E">
        <w:rPr>
          <w:rFonts w:ascii="Times New Roman" w:eastAsia="Times New Roman" w:hAnsi="Times New Roman" w:cs="Times New Roman"/>
          <w:kern w:val="0"/>
          <w:sz w:val="22"/>
          <w:szCs w:val="22"/>
          <w:lang w:eastAsia="uk-UA"/>
          <w14:ligatures w14:val="none"/>
        </w:rPr>
        <w:t>ів</w:t>
      </w:r>
      <w:r w:rsidRPr="009A1B4E">
        <w:rPr>
          <w:rFonts w:ascii="Times New Roman" w:eastAsia="Times New Roman" w:hAnsi="Times New Roman" w:cs="Times New Roman"/>
          <w:color w:val="000000"/>
          <w:kern w:val="0"/>
          <w:sz w:val="22"/>
          <w:szCs w:val="22"/>
          <w:lang w:eastAsia="uk-UA"/>
          <w14:ligatures w14:val="none"/>
        </w:rPr>
        <w:t xml:space="preserve"> діяльності Організації.</w:t>
      </w:r>
    </w:p>
    <w:p w14:paraId="572B9F08" w14:textId="77777777" w:rsidR="009A1B4E" w:rsidRPr="009A1B4E" w:rsidRDefault="009A1B4E" w:rsidP="009A1B4E">
      <w:pPr>
        <w:widowControl w:val="0"/>
        <w:numPr>
          <w:ilvl w:val="0"/>
          <w:numId w:val="1"/>
        </w:numPr>
        <w:pBdr>
          <w:top w:val="nil"/>
          <w:left w:val="nil"/>
          <w:bottom w:val="nil"/>
          <w:right w:val="nil"/>
          <w:between w:val="nil"/>
        </w:pBdr>
        <w:tabs>
          <w:tab w:val="left" w:pos="855"/>
        </w:tabs>
        <w:spacing w:before="1" w:after="0" w:line="240" w:lineRule="auto"/>
        <w:ind w:left="1134" w:right="127" w:hanging="425"/>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Основна мета (місія) створення та діяльності Організації</w:t>
      </w:r>
      <w:r w:rsidRPr="009A1B4E">
        <w:rPr>
          <w:rFonts w:ascii="Times New Roman" w:eastAsia="Times New Roman" w:hAnsi="Times New Roman" w:cs="Times New Roman"/>
          <w:color w:val="000000"/>
          <w:kern w:val="0"/>
          <w:sz w:val="22"/>
          <w:szCs w:val="22"/>
          <w:lang w:eastAsia="uk-UA"/>
          <w14:ligatures w14:val="none"/>
        </w:rPr>
        <w:t>. Організація створена та діє з такою метою (цілями) та за такими напрямами: надання благодійної допомоги фізичним особам, територіальним громадам, неприбутковим організаціям, а також юридичним особам приватного права в указаних сферах, а також розвиток і підтримка цих сфер у суспільних інтересах.</w:t>
      </w:r>
    </w:p>
    <w:p w14:paraId="3F80CDDF" w14:textId="77777777" w:rsidR="009A1B4E" w:rsidRPr="009A1B4E" w:rsidRDefault="009A1B4E" w:rsidP="009A1B4E">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kern w:val="0"/>
          <w:sz w:val="19"/>
          <w:szCs w:val="19"/>
          <w:lang w:eastAsia="uk-UA"/>
          <w14:ligatures w14:val="none"/>
        </w:rPr>
      </w:pPr>
    </w:p>
    <w:p w14:paraId="4B66C74B" w14:textId="77777777" w:rsidR="009A1B4E" w:rsidRPr="009A1B4E" w:rsidRDefault="009A1B4E" w:rsidP="009A1B4E">
      <w:pPr>
        <w:widowControl w:val="0"/>
        <w:numPr>
          <w:ilvl w:val="0"/>
          <w:numId w:val="1"/>
        </w:numPr>
        <w:pBdr>
          <w:top w:val="nil"/>
          <w:left w:val="nil"/>
          <w:bottom w:val="nil"/>
          <w:right w:val="nil"/>
          <w:between w:val="nil"/>
        </w:pBdr>
        <w:tabs>
          <w:tab w:val="left" w:pos="860"/>
        </w:tabs>
        <w:spacing w:before="81" w:after="0" w:line="237" w:lineRule="auto"/>
        <w:ind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Основні джерела надходжень коштів та осіб, що перераховують кошти на користь</w:t>
      </w:r>
      <w:r w:rsidRPr="009A1B4E">
        <w:rPr>
          <w:rFonts w:ascii="Times New Roman" w:eastAsia="Times New Roman" w:hAnsi="Times New Roman" w:cs="Times New Roman"/>
          <w:color w:val="000000"/>
          <w:kern w:val="0"/>
          <w:sz w:val="22"/>
          <w:szCs w:val="22"/>
          <w:lang w:eastAsia="uk-UA"/>
          <w14:ligatures w14:val="none"/>
        </w:rPr>
        <w:t xml:space="preserve"> </w:t>
      </w:r>
      <w:r w:rsidRPr="009A1B4E">
        <w:rPr>
          <w:rFonts w:ascii="Times New Roman" w:eastAsia="Times New Roman" w:hAnsi="Times New Roman" w:cs="Times New Roman"/>
          <w:color w:val="000000"/>
          <w:kern w:val="0"/>
          <w:sz w:val="22"/>
          <w:szCs w:val="22"/>
          <w:u w:val="single"/>
          <w:lang w:eastAsia="uk-UA"/>
          <w14:ligatures w14:val="none"/>
        </w:rPr>
        <w:t>Організації</w:t>
      </w:r>
      <w:r w:rsidRPr="009A1B4E">
        <w:rPr>
          <w:rFonts w:ascii="Times New Roman" w:eastAsia="Times New Roman" w:hAnsi="Times New Roman" w:cs="Times New Roman"/>
          <w:color w:val="000000"/>
          <w:kern w:val="0"/>
          <w:sz w:val="22"/>
          <w:szCs w:val="22"/>
          <w:lang w:eastAsia="uk-UA"/>
          <w14:ligatures w14:val="none"/>
        </w:rPr>
        <w:t>. Основними джерелами надходження коштів є благодійні внески фізичних та юридичних осіб. Наразі конкретні фізичні та юридичні особи не відомі, адже Організація планує здійснювати кампанію зі збору коштів.</w:t>
      </w:r>
    </w:p>
    <w:p w14:paraId="40F85593" w14:textId="77777777" w:rsidR="009A1B4E" w:rsidRPr="009A1B4E" w:rsidRDefault="009A1B4E" w:rsidP="009A1B4E">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9"/>
          <w:szCs w:val="19"/>
          <w:lang w:eastAsia="uk-UA"/>
          <w14:ligatures w14:val="none"/>
        </w:rPr>
      </w:pPr>
    </w:p>
    <w:p w14:paraId="11F7AD44" w14:textId="77777777" w:rsidR="009A1B4E" w:rsidRPr="009A1B4E" w:rsidRDefault="009A1B4E" w:rsidP="009A1B4E">
      <w:pPr>
        <w:widowControl w:val="0"/>
        <w:numPr>
          <w:ilvl w:val="0"/>
          <w:numId w:val="1"/>
        </w:numPr>
        <w:pBdr>
          <w:top w:val="nil"/>
          <w:left w:val="nil"/>
          <w:bottom w:val="nil"/>
          <w:right w:val="nil"/>
          <w:between w:val="nil"/>
        </w:pBdr>
        <w:tabs>
          <w:tab w:val="left" w:pos="861"/>
        </w:tabs>
        <w:spacing w:after="0" w:line="240" w:lineRule="auto"/>
        <w:ind w:left="499" w:right="127"/>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Види основних видатків Організації та пропорції статей на її утримання в таких</w:t>
      </w:r>
      <w:r w:rsidRPr="009A1B4E">
        <w:rPr>
          <w:rFonts w:ascii="Times New Roman" w:eastAsia="Times New Roman" w:hAnsi="Times New Roman" w:cs="Times New Roman"/>
          <w:color w:val="000000"/>
          <w:kern w:val="0"/>
          <w:sz w:val="22"/>
          <w:szCs w:val="22"/>
          <w:lang w:eastAsia="uk-UA"/>
          <w14:ligatures w14:val="none"/>
        </w:rPr>
        <w:t xml:space="preserve"> </w:t>
      </w:r>
      <w:r w:rsidRPr="009A1B4E">
        <w:rPr>
          <w:rFonts w:ascii="Times New Roman" w:eastAsia="Times New Roman" w:hAnsi="Times New Roman" w:cs="Times New Roman"/>
          <w:color w:val="000000"/>
          <w:kern w:val="0"/>
          <w:sz w:val="22"/>
          <w:szCs w:val="22"/>
          <w:u w:val="single"/>
          <w:lang w:eastAsia="uk-UA"/>
          <w14:ligatures w14:val="none"/>
        </w:rPr>
        <w:t>видатках</w:t>
      </w:r>
      <w:r w:rsidRPr="009A1B4E">
        <w:rPr>
          <w:rFonts w:ascii="Times New Roman" w:eastAsia="Times New Roman" w:hAnsi="Times New Roman" w:cs="Times New Roman"/>
          <w:color w:val="000000"/>
          <w:kern w:val="0"/>
          <w:sz w:val="22"/>
          <w:szCs w:val="22"/>
          <w:lang w:eastAsia="uk-UA"/>
          <w14:ligatures w14:val="none"/>
        </w:rPr>
        <w:t>. Основними видатками Організації є: утримання офісу та інфраструктури організації. Основні витрати на підтримку Збройних Сил України і територіальної оборони у вигляді закупівель необхідних їм речей (амуніція, засоби захисту, медичні засоби тощо). Витрати на утримання організації становитимуть не більше 10%. Основними витратами Організації є: комісії платіжним провайдерам, розрахунково-касове обслуговування, оплата праці Голови правління, логістичні витрати на доставку та послуги розмитнення.</w:t>
      </w:r>
    </w:p>
    <w:p w14:paraId="65BEBA68" w14:textId="77777777" w:rsidR="009A1B4E" w:rsidRPr="009A1B4E" w:rsidRDefault="009A1B4E" w:rsidP="009A1B4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kern w:val="0"/>
          <w:sz w:val="19"/>
          <w:szCs w:val="19"/>
          <w:lang w:eastAsia="uk-UA"/>
          <w14:ligatures w14:val="none"/>
        </w:rPr>
      </w:pPr>
    </w:p>
    <w:p w14:paraId="6102042B" w14:textId="77777777" w:rsidR="009A1B4E" w:rsidRPr="009A1B4E" w:rsidRDefault="009A1B4E" w:rsidP="009A1B4E">
      <w:pPr>
        <w:widowControl w:val="0"/>
        <w:numPr>
          <w:ilvl w:val="0"/>
          <w:numId w:val="1"/>
        </w:numPr>
        <w:pBdr>
          <w:top w:val="nil"/>
          <w:left w:val="nil"/>
          <w:bottom w:val="nil"/>
          <w:right w:val="nil"/>
          <w:between w:val="nil"/>
        </w:pBdr>
        <w:tabs>
          <w:tab w:val="left" w:pos="860"/>
        </w:tabs>
        <w:spacing w:after="0" w:line="240" w:lineRule="auto"/>
        <w:ind w:left="859" w:hanging="361"/>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Отримувачі коштів від Організації</w:t>
      </w:r>
      <w:r w:rsidRPr="009A1B4E">
        <w:rPr>
          <w:rFonts w:ascii="Times New Roman" w:eastAsia="Times New Roman" w:hAnsi="Times New Roman" w:cs="Times New Roman"/>
          <w:color w:val="000000"/>
          <w:kern w:val="0"/>
          <w:sz w:val="22"/>
          <w:szCs w:val="22"/>
          <w:lang w:eastAsia="uk-UA"/>
          <w14:ligatures w14:val="none"/>
        </w:rPr>
        <w:t xml:space="preserve">. Отримувачами коштів є: </w:t>
      </w:r>
    </w:p>
    <w:p w14:paraId="2566BE0A" w14:textId="77777777" w:rsidR="009A1B4E" w:rsidRPr="009A1B4E" w:rsidRDefault="009A1B4E" w:rsidP="009A1B4E">
      <w:pPr>
        <w:widowControl w:val="0"/>
        <w:spacing w:after="0" w:line="240" w:lineRule="auto"/>
        <w:ind w:left="500" w:right="131"/>
        <w:jc w:val="both"/>
        <w:rPr>
          <w:rFonts w:ascii="Times New Roman" w:eastAsia="Times New Roman" w:hAnsi="Times New Roman" w:cs="Times New Roman"/>
          <w:i/>
          <w:iCs/>
          <w:color w:val="000000"/>
          <w:kern w:val="0"/>
          <w:sz w:val="22"/>
          <w:szCs w:val="22"/>
          <w:highlight w:val="yellow"/>
          <w:lang w:eastAsia="uk-UA"/>
          <w14:ligatures w14:val="none"/>
        </w:rPr>
      </w:pPr>
    </w:p>
    <w:p w14:paraId="719545FE" w14:textId="77777777" w:rsidR="009A1B4E" w:rsidRPr="009A1B4E" w:rsidRDefault="009A1B4E" w:rsidP="009A1B4E">
      <w:pPr>
        <w:widowControl w:val="0"/>
        <w:pBdr>
          <w:top w:val="nil"/>
          <w:left w:val="nil"/>
          <w:bottom w:val="nil"/>
          <w:right w:val="nil"/>
          <w:between w:val="nil"/>
        </w:pBdr>
        <w:spacing w:before="1" w:after="0" w:line="240" w:lineRule="auto"/>
        <w:ind w:left="1134" w:right="131" w:hanging="425"/>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(а)</w:t>
      </w:r>
      <w:r w:rsidRPr="009A1B4E">
        <w:rPr>
          <w:rFonts w:ascii="Times New Roman" w:eastAsia="Times New Roman" w:hAnsi="Times New Roman" w:cs="Times New Roman"/>
          <w:color w:val="000000"/>
          <w:kern w:val="0"/>
          <w:sz w:val="22"/>
          <w:szCs w:val="22"/>
          <w:lang w:eastAsia="uk-UA"/>
          <w14:ligatures w14:val="none"/>
        </w:rPr>
        <w:tab/>
        <w:t>сервіси та приватні особи котрі володіють необхідними для Збройних Сил України товарами і готові їх продавати (аптечки, запасні частини, пристрої зв’язку, та інше)</w:t>
      </w:r>
    </w:p>
    <w:p w14:paraId="06AB229A" w14:textId="77777777" w:rsidR="009A1B4E" w:rsidRPr="009A1B4E" w:rsidRDefault="009A1B4E" w:rsidP="009A1B4E">
      <w:pPr>
        <w:widowControl w:val="0"/>
        <w:pBdr>
          <w:top w:val="nil"/>
          <w:left w:val="nil"/>
          <w:bottom w:val="nil"/>
          <w:right w:val="nil"/>
          <w:between w:val="nil"/>
        </w:pBdr>
        <w:spacing w:before="1" w:after="0" w:line="240" w:lineRule="auto"/>
        <w:ind w:left="1134" w:right="131" w:hanging="425"/>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(б)</w:t>
      </w:r>
      <w:r w:rsidRPr="009A1B4E">
        <w:rPr>
          <w:rFonts w:ascii="Times New Roman" w:eastAsia="Times New Roman" w:hAnsi="Times New Roman" w:cs="Times New Roman"/>
          <w:color w:val="000000"/>
          <w:kern w:val="0"/>
          <w:sz w:val="22"/>
          <w:szCs w:val="22"/>
          <w:lang w:eastAsia="uk-UA"/>
          <w14:ligatures w14:val="none"/>
        </w:rPr>
        <w:tab/>
        <w:t>логістичні групи з закупівлі необхідних для фронту речей за кордоном і доставки їх у зони активних бойових дій (наприклад, тепловізори, бронежилети, дрони, радіоприймачі та інше);</w:t>
      </w:r>
    </w:p>
    <w:p w14:paraId="6E5B3533" w14:textId="77777777" w:rsidR="009A1B4E" w:rsidRPr="009A1B4E" w:rsidRDefault="009A1B4E" w:rsidP="009A1B4E">
      <w:pPr>
        <w:widowControl w:val="0"/>
        <w:pBdr>
          <w:top w:val="nil"/>
          <w:left w:val="nil"/>
          <w:bottom w:val="nil"/>
          <w:right w:val="nil"/>
          <w:between w:val="nil"/>
        </w:pBdr>
        <w:spacing w:before="1" w:after="0" w:line="240" w:lineRule="auto"/>
        <w:ind w:left="1134" w:right="131" w:hanging="425"/>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(в)</w:t>
      </w:r>
      <w:r w:rsidRPr="009A1B4E">
        <w:rPr>
          <w:rFonts w:ascii="Times New Roman" w:eastAsia="Times New Roman" w:hAnsi="Times New Roman" w:cs="Times New Roman"/>
          <w:color w:val="000000"/>
          <w:kern w:val="0"/>
          <w:sz w:val="22"/>
          <w:szCs w:val="22"/>
          <w:lang w:eastAsia="uk-UA"/>
          <w14:ligatures w14:val="none"/>
        </w:rPr>
        <w:tab/>
        <w:t>волонтери, бійці Збройних Сил України та сил територіальної оборони для миттєвої купівлі предметів першої необхідності в межах України (наприклад, спальні мішки, продукти харчування, вода, медикаменти, паливо для логістики та інше).</w:t>
      </w:r>
    </w:p>
    <w:p w14:paraId="3C14DBC4" w14:textId="77777777" w:rsidR="009A1B4E" w:rsidRPr="009A1B4E" w:rsidRDefault="009A1B4E" w:rsidP="009A1B4E">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kern w:val="0"/>
          <w:sz w:val="18"/>
          <w:szCs w:val="18"/>
          <w:lang w:eastAsia="uk-UA"/>
          <w14:ligatures w14:val="none"/>
        </w:rPr>
      </w:pPr>
    </w:p>
    <w:p w14:paraId="073FB9F6" w14:textId="77777777" w:rsidR="009A1B4E" w:rsidRPr="009A1B4E" w:rsidRDefault="009A1B4E" w:rsidP="009A1B4E">
      <w:pPr>
        <w:widowControl w:val="0"/>
        <w:numPr>
          <w:ilvl w:val="0"/>
          <w:numId w:val="1"/>
        </w:numPr>
        <w:pBdr>
          <w:top w:val="nil"/>
          <w:left w:val="nil"/>
          <w:bottom w:val="nil"/>
          <w:right w:val="nil"/>
          <w:between w:val="nil"/>
        </w:pBdr>
        <w:tabs>
          <w:tab w:val="left" w:pos="860"/>
        </w:tabs>
        <w:spacing w:after="0" w:line="240" w:lineRule="auto"/>
        <w:ind w:right="131"/>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 xml:space="preserve">Масштаби діяльності Організації </w:t>
      </w:r>
      <w:r w:rsidRPr="009A1B4E">
        <w:rPr>
          <w:rFonts w:ascii="Times New Roman" w:eastAsia="Times New Roman" w:hAnsi="Times New Roman" w:cs="Times New Roman"/>
          <w:color w:val="000000"/>
          <w:kern w:val="0"/>
          <w:sz w:val="22"/>
          <w:szCs w:val="22"/>
          <w:lang w:eastAsia="uk-UA"/>
          <w14:ligatures w14:val="none"/>
        </w:rPr>
        <w:t>Організація здійснює діяльність як на міжнародному, так і на внутрішньодержавному рівні.</w:t>
      </w:r>
    </w:p>
    <w:p w14:paraId="32CDB7FB" w14:textId="77777777" w:rsidR="009A1B4E" w:rsidRPr="009A1B4E" w:rsidRDefault="009A1B4E" w:rsidP="009A1B4E">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kern w:val="0"/>
          <w:sz w:val="19"/>
          <w:szCs w:val="19"/>
          <w:lang w:eastAsia="uk-UA"/>
          <w14:ligatures w14:val="none"/>
        </w:rPr>
      </w:pPr>
    </w:p>
    <w:p w14:paraId="1917F912" w14:textId="77777777" w:rsidR="009A1B4E" w:rsidRPr="009A1B4E" w:rsidRDefault="009A1B4E" w:rsidP="009A1B4E">
      <w:pPr>
        <w:widowControl w:val="0"/>
        <w:numPr>
          <w:ilvl w:val="0"/>
          <w:numId w:val="1"/>
        </w:numPr>
        <w:pBdr>
          <w:top w:val="nil"/>
          <w:left w:val="nil"/>
          <w:bottom w:val="nil"/>
          <w:right w:val="nil"/>
          <w:between w:val="nil"/>
        </w:pBdr>
        <w:tabs>
          <w:tab w:val="left" w:pos="860"/>
        </w:tabs>
        <w:spacing w:before="1" w:after="0" w:line="240" w:lineRule="auto"/>
        <w:ind w:right="130"/>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Яким чином здійснюється пошук благодійників Організації</w:t>
      </w:r>
      <w:r w:rsidRPr="009A1B4E">
        <w:rPr>
          <w:rFonts w:ascii="Times New Roman" w:eastAsia="Times New Roman" w:hAnsi="Times New Roman" w:cs="Times New Roman"/>
          <w:color w:val="000000"/>
          <w:kern w:val="0"/>
          <w:sz w:val="22"/>
          <w:szCs w:val="22"/>
          <w:lang w:eastAsia="uk-UA"/>
          <w14:ligatures w14:val="none"/>
        </w:rPr>
        <w:t xml:space="preserve">. </w:t>
      </w:r>
    </w:p>
    <w:p w14:paraId="47BAD5B2" w14:textId="77777777" w:rsidR="009A1B4E" w:rsidRPr="009A1B4E" w:rsidRDefault="009A1B4E" w:rsidP="009A1B4E">
      <w:pPr>
        <w:widowControl w:val="0"/>
        <w:pBdr>
          <w:top w:val="nil"/>
          <w:left w:val="nil"/>
          <w:bottom w:val="nil"/>
          <w:right w:val="nil"/>
          <w:between w:val="nil"/>
        </w:pBdr>
        <w:tabs>
          <w:tab w:val="left" w:pos="860"/>
        </w:tabs>
        <w:spacing w:before="1" w:after="0" w:line="240" w:lineRule="auto"/>
        <w:ind w:left="500" w:right="130"/>
        <w:jc w:val="both"/>
        <w:rPr>
          <w:rFonts w:ascii="Times New Roman" w:eastAsia="Times New Roman" w:hAnsi="Times New Roman" w:cs="Times New Roman"/>
          <w:color w:val="000000"/>
          <w:kern w:val="0"/>
          <w:sz w:val="22"/>
          <w:szCs w:val="22"/>
          <w:u w:val="single"/>
          <w:lang w:eastAsia="uk-UA"/>
          <w14:ligatures w14:val="none"/>
        </w:rPr>
      </w:pPr>
    </w:p>
    <w:p w14:paraId="65A4E34E" w14:textId="77777777" w:rsidR="009A1B4E" w:rsidRPr="009A1B4E" w:rsidRDefault="009A1B4E" w:rsidP="009A1B4E">
      <w:pPr>
        <w:widowControl w:val="0"/>
        <w:pBdr>
          <w:top w:val="nil"/>
          <w:left w:val="nil"/>
          <w:bottom w:val="nil"/>
          <w:right w:val="nil"/>
          <w:between w:val="nil"/>
        </w:pBdr>
        <w:tabs>
          <w:tab w:val="left" w:pos="860"/>
        </w:tabs>
        <w:spacing w:before="1" w:after="0" w:line="240" w:lineRule="auto"/>
        <w:ind w:left="500" w:right="130"/>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Організація здійснює пошук благодійників за допомогою особистої мережі контактів її учасників. Також існує веб-сайту з розміщенням всієї інформації щодо Організації та її діяльності, а також контактів для здійснення пожертв для всіх охочих. Посилання на даний веб-сайт також буде розміщуватися в соціальних мережах за допомогою рекламних механізмів.</w:t>
      </w:r>
    </w:p>
    <w:p w14:paraId="01B118C8" w14:textId="77777777" w:rsidR="009A1B4E" w:rsidRPr="009A1B4E" w:rsidRDefault="009A1B4E" w:rsidP="009A1B4E">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kern w:val="0"/>
          <w:sz w:val="18"/>
          <w:szCs w:val="18"/>
          <w:lang w:eastAsia="uk-UA"/>
          <w14:ligatures w14:val="none"/>
        </w:rPr>
      </w:pPr>
    </w:p>
    <w:p w14:paraId="02106449" w14:textId="77777777" w:rsidR="009A1B4E" w:rsidRPr="009A1B4E" w:rsidRDefault="009A1B4E" w:rsidP="009A1B4E">
      <w:pPr>
        <w:widowControl w:val="0"/>
        <w:numPr>
          <w:ilvl w:val="0"/>
          <w:numId w:val="1"/>
        </w:numPr>
        <w:pBdr>
          <w:top w:val="nil"/>
          <w:left w:val="nil"/>
          <w:bottom w:val="nil"/>
          <w:right w:val="nil"/>
          <w:between w:val="nil"/>
        </w:pBdr>
        <w:tabs>
          <w:tab w:val="left" w:pos="861"/>
        </w:tabs>
        <w:spacing w:after="0" w:line="240" w:lineRule="auto"/>
        <w:ind w:right="131"/>
        <w:jc w:val="both"/>
        <w:rPr>
          <w:rFonts w:ascii="Times New Roman" w:eastAsia="Times New Roman" w:hAnsi="Times New Roman" w:cs="Times New Roman"/>
          <w:color w:val="000000"/>
          <w:kern w:val="0"/>
          <w:sz w:val="19"/>
          <w:szCs w:val="19"/>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Наявні досягнення Організації (зокрема, виконані (реалізовані) проекти/програми)</w:t>
      </w:r>
      <w:r w:rsidRPr="009A1B4E">
        <w:rPr>
          <w:rFonts w:ascii="Times New Roman" w:eastAsia="Times New Roman" w:hAnsi="Times New Roman" w:cs="Times New Roman"/>
          <w:color w:val="000000"/>
          <w:kern w:val="0"/>
          <w:sz w:val="22"/>
          <w:szCs w:val="22"/>
          <w:lang w:eastAsia="uk-UA"/>
          <w14:ligatures w14:val="none"/>
        </w:rPr>
        <w:t xml:space="preserve">. </w:t>
      </w:r>
    </w:p>
    <w:p w14:paraId="49E3FDC4" w14:textId="77777777"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 xml:space="preserve">Протягом 2003 - 2022 року Парламентський клуб неурядових організацій, спільно з профільними комітетами Верховної Ради України, провели шістдесят вісім засідань «Парламентського клубу НУО». На засіданнях, зокрема, було розглянуто теми, присвячені проблемам прав людини, захисту української мови та культури, захисту національних меншин та етнічних груп, захисту прав дітей, пенітенціарної реформи.  За підтримки проекту Агентства США з міжнародного розвитку «Сприяння проведенню виборів Україна» і підкомітетом Верховної Ради України з питань виборів та громадських організацій був організований круглий стіл на тему «Роль НУО у реалізації виборчих прав громадян на виборах Президента України». </w:t>
      </w:r>
    </w:p>
    <w:p w14:paraId="4A8B3059" w14:textId="77777777"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 xml:space="preserve">У роботі «Парламентського клубу НУО» брали участь профільні за тематиками засідань - комітети Верховної Ради України, а також Народні Депутати України, які висловили готовність </w:t>
      </w:r>
      <w:r w:rsidRPr="009A1B4E">
        <w:rPr>
          <w:rFonts w:ascii="Times New Roman" w:eastAsia="Times New Roman" w:hAnsi="Times New Roman" w:cs="Times New Roman"/>
          <w:color w:val="000000"/>
          <w:kern w:val="0"/>
          <w:sz w:val="22"/>
          <w:szCs w:val="22"/>
          <w:lang w:eastAsia="uk-UA"/>
          <w14:ligatures w14:val="none"/>
        </w:rPr>
        <w:lastRenderedPageBreak/>
        <w:t xml:space="preserve">ініціювати в законодавство країни зміни і доповнення, які можуть бути розроблені на основі пропозицій опрацьованих на засіданнях. Всього біля 212 парламентарів усіх скликань ВРУ, голови комітетів, співробітники апарату комітетів і комісій ВРУ. У підготовці та проведенні засідань «Парламентського клубу НУО» взяли участь понад 840 неурядових організацій України, понад 120 представників неформальних об'єднань та ініціативних груп. Для більшості учасників «Парламентського клубу НУО» така форма роботи дозволила вперше безпосередньо спілкуватися з наболілих питань з парламентаріями. Дала можливість представникам НУО передати матеріали для депутатських запитів до органів виконавчої влади різних рівнів. </w:t>
      </w:r>
    </w:p>
    <w:p w14:paraId="58CAAAF6" w14:textId="77777777"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 xml:space="preserve">За майже двадцять років роботи завдяки діяльності організації , було розроблено і прийнято у якості законів України – 11 законопроектів та нормативних актів Міністерств і відомств. </w:t>
      </w:r>
    </w:p>
    <w:p w14:paraId="720D7708" w14:textId="77777777"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 xml:space="preserve">Шляхом тісної співпраці з організаціями культури, такими як музеї, бібліотеки, галереї та творчі спілки, Парламентський клуб НУО, здійснено значних зусиль щодо сприяння формуванню нового законодавства, що стосується культури, мистецтва, розвитку української мови та інших аспектів українського суспільного життя. Було розроблено та внесено до Верховної Ради України низку законопроектів, спрямованих на покращення умов функціонування культурних закладів, підтримку творчих ініціатив, а також на забезпечення ефективної охорони культурної спадщини. </w:t>
      </w:r>
    </w:p>
    <w:p w14:paraId="099C5BAE" w14:textId="77777777"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Однією з найважливіших сфер діяльності Парламентського клубу була співпраця з організаціями, що займаються розвитком української культури і мови. Вони спільно розробляли та підтримували законопроекти, спрямовані на забезпечення прав громадян на вільний культурний розвиток. Усвідомлюючи важливість української мови як складової національної ідентичності, Парламентський клуб активно сприяв розвитку законодавства, спрямованого на підтримку та збереження української мови. Це охоплювало як освітні ініціативи, так і заходи, спрямовані на підтримку української мови у культурному середовищі.</w:t>
      </w:r>
    </w:p>
    <w:p w14:paraId="4E75D9BB" w14:textId="77777777" w:rsid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Організацією було укладено 28 Меморандумів про співпрацю з творчими спілками та організаціями культури, що спільних зусиль у лобіюванні змін, які б полегшували роботу культурних організацій та розвивали українську культуру і мову по всьому світі. А також з українськими засобами масової інформації, щодо висвітлення такої діяльності і сприянню виствітленню української культури загалом.</w:t>
      </w:r>
    </w:p>
    <w:p w14:paraId="04A59542" w14:textId="2BFC9B38"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Pr>
          <w:rFonts w:ascii="Times New Roman" w:eastAsia="Times New Roman" w:hAnsi="Times New Roman" w:cs="Times New Roman"/>
          <w:color w:val="000000"/>
          <w:kern w:val="0"/>
          <w:sz w:val="22"/>
          <w:szCs w:val="22"/>
          <w:lang w:eastAsia="uk-UA"/>
          <w14:ligatures w14:val="none"/>
        </w:rPr>
        <w:t xml:space="preserve">2023 - </w:t>
      </w:r>
      <w:r w:rsidRPr="009A1B4E">
        <w:rPr>
          <w:rFonts w:ascii="Times New Roman" w:eastAsia="Times New Roman" w:hAnsi="Times New Roman" w:cs="Times New Roman"/>
          <w:color w:val="000000"/>
          <w:kern w:val="0"/>
          <w:sz w:val="22"/>
          <w:szCs w:val="22"/>
          <w:lang w:eastAsia="uk-UA"/>
          <w14:ligatures w14:val="none"/>
        </w:rPr>
        <w:t>2024: Актуальні проєкти</w:t>
      </w:r>
    </w:p>
    <w:p w14:paraId="5F5BB202" w14:textId="77777777"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1.</w:t>
      </w:r>
      <w:r w:rsidRPr="009A1B4E">
        <w:rPr>
          <w:rFonts w:ascii="Times New Roman" w:eastAsia="Times New Roman" w:hAnsi="Times New Roman" w:cs="Times New Roman"/>
          <w:color w:val="000000"/>
          <w:kern w:val="0"/>
          <w:sz w:val="22"/>
          <w:szCs w:val="22"/>
          <w:lang w:eastAsia="uk-UA"/>
          <w14:ligatures w14:val="none"/>
        </w:rPr>
        <w:tab/>
        <w:t>Міжнародний кінопроєкт "Україна: Незламна культура" – створення фільмів про українське мистецтво воєнного часу.</w:t>
      </w:r>
    </w:p>
    <w:p w14:paraId="42EA715B" w14:textId="52C5BA0F"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2.</w:t>
      </w:r>
      <w:r w:rsidRPr="009A1B4E">
        <w:rPr>
          <w:rFonts w:ascii="Times New Roman" w:eastAsia="Times New Roman" w:hAnsi="Times New Roman" w:cs="Times New Roman"/>
          <w:color w:val="000000"/>
          <w:kern w:val="0"/>
          <w:sz w:val="22"/>
          <w:szCs w:val="22"/>
          <w:lang w:eastAsia="uk-UA"/>
          <w14:ligatures w14:val="none"/>
        </w:rPr>
        <w:tab/>
        <w:t>"Жива спадщина" – архівування культурної спадщини – цифрова консервація пам’яток, зруйнованих під час війни.</w:t>
      </w:r>
      <w:r>
        <w:rPr>
          <w:rFonts w:ascii="Times New Roman" w:eastAsia="Times New Roman" w:hAnsi="Times New Roman" w:cs="Times New Roman"/>
          <w:color w:val="000000"/>
          <w:kern w:val="0"/>
          <w:sz w:val="22"/>
          <w:szCs w:val="22"/>
          <w:lang w:eastAsia="uk-UA"/>
          <w14:ligatures w14:val="none"/>
        </w:rPr>
        <w:t xml:space="preserve"> (Спільно з ГО «Київська організація ГО «Лемківщина»)</w:t>
      </w:r>
    </w:p>
    <w:p w14:paraId="370B846E" w14:textId="7BAE4E41"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4.</w:t>
      </w:r>
      <w:r w:rsidRPr="009A1B4E">
        <w:rPr>
          <w:rFonts w:ascii="Times New Roman" w:eastAsia="Times New Roman" w:hAnsi="Times New Roman" w:cs="Times New Roman"/>
          <w:color w:val="000000"/>
          <w:kern w:val="0"/>
          <w:sz w:val="22"/>
          <w:szCs w:val="22"/>
          <w:lang w:eastAsia="uk-UA"/>
          <w14:ligatures w14:val="none"/>
        </w:rPr>
        <w:tab/>
        <w:t>Проєкт "Українська книга у світі" – переклад і популяризація української літератури на міжнародному рівні.</w:t>
      </w:r>
      <w:r>
        <w:rPr>
          <w:rFonts w:ascii="Times New Roman" w:eastAsia="Times New Roman" w:hAnsi="Times New Roman" w:cs="Times New Roman"/>
          <w:color w:val="000000"/>
          <w:kern w:val="0"/>
          <w:sz w:val="22"/>
          <w:szCs w:val="22"/>
          <w:lang w:eastAsia="uk-UA"/>
          <w14:ligatures w14:val="none"/>
        </w:rPr>
        <w:t xml:space="preserve"> (проект підтриманий Інститутом розвитку самоорганізації населення)</w:t>
      </w:r>
    </w:p>
    <w:p w14:paraId="4FE437AB" w14:textId="6E5D6627"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5.</w:t>
      </w:r>
      <w:r w:rsidRPr="009A1B4E">
        <w:rPr>
          <w:rFonts w:ascii="Times New Roman" w:eastAsia="Times New Roman" w:hAnsi="Times New Roman" w:cs="Times New Roman"/>
          <w:color w:val="000000"/>
          <w:kern w:val="0"/>
          <w:sz w:val="22"/>
          <w:szCs w:val="22"/>
          <w:lang w:eastAsia="uk-UA"/>
          <w14:ligatures w14:val="none"/>
        </w:rPr>
        <w:tab/>
        <w:t>"Мистецтво спротиву" – виставки українських художників у Європі – презентація українського воєнного мистецтва за кордоном.</w:t>
      </w:r>
      <w:r>
        <w:rPr>
          <w:rFonts w:ascii="Times New Roman" w:eastAsia="Times New Roman" w:hAnsi="Times New Roman" w:cs="Times New Roman"/>
          <w:color w:val="000000"/>
          <w:kern w:val="0"/>
          <w:sz w:val="22"/>
          <w:szCs w:val="22"/>
          <w:lang w:eastAsia="uk-UA"/>
          <w14:ligatures w14:val="none"/>
        </w:rPr>
        <w:t xml:space="preserve"> (Спільно із Французьським центром українських громад)</w:t>
      </w:r>
    </w:p>
    <w:p w14:paraId="01386E72" w14:textId="78D1A50B"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6.</w:t>
      </w:r>
      <w:r w:rsidRPr="009A1B4E">
        <w:rPr>
          <w:rFonts w:ascii="Times New Roman" w:eastAsia="Times New Roman" w:hAnsi="Times New Roman" w:cs="Times New Roman"/>
          <w:color w:val="000000"/>
          <w:kern w:val="0"/>
          <w:sz w:val="22"/>
          <w:szCs w:val="22"/>
          <w:lang w:eastAsia="uk-UA"/>
          <w14:ligatures w14:val="none"/>
        </w:rPr>
        <w:tab/>
        <w:t>Документальний фільм "Непідкорений край" – кінопроєкт про спротив українського народу, зйомки здійснені за підтримки міжнародних партнерів.</w:t>
      </w:r>
      <w:r>
        <w:rPr>
          <w:rFonts w:ascii="Times New Roman" w:eastAsia="Times New Roman" w:hAnsi="Times New Roman" w:cs="Times New Roman"/>
          <w:color w:val="000000"/>
          <w:kern w:val="0"/>
          <w:sz w:val="22"/>
          <w:szCs w:val="22"/>
          <w:lang w:eastAsia="uk-UA"/>
          <w14:ligatures w14:val="none"/>
        </w:rPr>
        <w:t xml:space="preserve"> (За підтримки МДФ та Міністерства закордонних справ Чехії)</w:t>
      </w:r>
    </w:p>
    <w:p w14:paraId="6CF1BE4A" w14:textId="62AAFA2C"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7.</w:t>
      </w:r>
      <w:r w:rsidRPr="009A1B4E">
        <w:rPr>
          <w:rFonts w:ascii="Times New Roman" w:eastAsia="Times New Roman" w:hAnsi="Times New Roman" w:cs="Times New Roman"/>
          <w:color w:val="000000"/>
          <w:kern w:val="0"/>
          <w:sz w:val="22"/>
          <w:szCs w:val="22"/>
          <w:lang w:eastAsia="uk-UA"/>
          <w14:ligatures w14:val="none"/>
        </w:rPr>
        <w:tab/>
        <w:t>"Кіно заради України" – кінопокази та зустрічі з режисерами – демонстрація українського кіно в Європі та США.</w:t>
      </w:r>
      <w:r>
        <w:rPr>
          <w:rFonts w:ascii="Times New Roman" w:eastAsia="Times New Roman" w:hAnsi="Times New Roman" w:cs="Times New Roman"/>
          <w:color w:val="000000"/>
          <w:kern w:val="0"/>
          <w:sz w:val="22"/>
          <w:szCs w:val="22"/>
          <w:lang w:eastAsia="uk-UA"/>
          <w14:ligatures w14:val="none"/>
        </w:rPr>
        <w:t xml:space="preserve"> (Нансі. Франція)</w:t>
      </w:r>
    </w:p>
    <w:p w14:paraId="13755F77" w14:textId="111E038A"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________________________________________</w:t>
      </w:r>
    </w:p>
    <w:p w14:paraId="1A2ECBA1" w14:textId="3FE04AD5"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Більше про нашу діяльність можна прочитати на сайт</w:t>
      </w:r>
      <w:r>
        <w:rPr>
          <w:rFonts w:ascii="Times New Roman" w:eastAsia="Times New Roman" w:hAnsi="Times New Roman" w:cs="Times New Roman"/>
          <w:color w:val="000000"/>
          <w:kern w:val="0"/>
          <w:sz w:val="22"/>
          <w:szCs w:val="22"/>
          <w:lang w:eastAsia="uk-UA"/>
          <w14:ligatures w14:val="none"/>
        </w:rPr>
        <w:t>і</w:t>
      </w:r>
      <w:r w:rsidRPr="009A1B4E">
        <w:rPr>
          <w:rFonts w:ascii="Times New Roman" w:eastAsia="Times New Roman" w:hAnsi="Times New Roman" w:cs="Times New Roman"/>
          <w:color w:val="000000"/>
          <w:kern w:val="0"/>
          <w:sz w:val="22"/>
          <w:szCs w:val="22"/>
          <w:lang w:eastAsia="uk-UA"/>
          <w14:ligatures w14:val="none"/>
        </w:rPr>
        <w:t>:</w:t>
      </w:r>
    </w:p>
    <w:p w14:paraId="10469A29" w14:textId="77777777"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www.rol.org.ua</w:t>
      </w:r>
    </w:p>
    <w:p w14:paraId="7F94D2FC" w14:textId="77777777" w:rsidR="009A1B4E" w:rsidRPr="009A1B4E" w:rsidRDefault="009A1B4E" w:rsidP="009A1B4E">
      <w:pPr>
        <w:widowControl w:val="0"/>
        <w:pBdr>
          <w:top w:val="nil"/>
          <w:left w:val="nil"/>
          <w:bottom w:val="nil"/>
          <w:right w:val="nil"/>
          <w:between w:val="nil"/>
        </w:pBdr>
        <w:tabs>
          <w:tab w:val="left" w:pos="861"/>
        </w:tabs>
        <w:spacing w:after="0" w:line="240" w:lineRule="auto"/>
        <w:ind w:left="500" w:right="131"/>
        <w:jc w:val="both"/>
        <w:rPr>
          <w:rFonts w:ascii="Times New Roman" w:eastAsia="Times New Roman" w:hAnsi="Times New Roman" w:cs="Times New Roman"/>
          <w:color w:val="000000"/>
          <w:kern w:val="0"/>
          <w:sz w:val="19"/>
          <w:szCs w:val="19"/>
          <w:lang w:eastAsia="uk-UA"/>
          <w14:ligatures w14:val="none"/>
        </w:rPr>
      </w:pPr>
    </w:p>
    <w:p w14:paraId="0B6F0151" w14:textId="77777777" w:rsidR="009A1B4E" w:rsidRPr="009A1B4E" w:rsidRDefault="009A1B4E" w:rsidP="009A1B4E">
      <w:pPr>
        <w:widowControl w:val="0"/>
        <w:numPr>
          <w:ilvl w:val="0"/>
          <w:numId w:val="1"/>
        </w:numPr>
        <w:pBdr>
          <w:top w:val="nil"/>
          <w:left w:val="nil"/>
          <w:bottom w:val="nil"/>
          <w:right w:val="nil"/>
          <w:between w:val="nil"/>
        </w:pBdr>
        <w:tabs>
          <w:tab w:val="left" w:pos="860"/>
        </w:tabs>
        <w:spacing w:after="0" w:line="240" w:lineRule="auto"/>
        <w:ind w:right="130"/>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Яким чином розподіляються кошти в Організації і хто приймає рішення щодо такого</w:t>
      </w:r>
      <w:r w:rsidRPr="009A1B4E">
        <w:rPr>
          <w:rFonts w:ascii="Times New Roman" w:eastAsia="Times New Roman" w:hAnsi="Times New Roman" w:cs="Times New Roman"/>
          <w:color w:val="000000"/>
          <w:kern w:val="0"/>
          <w:sz w:val="22"/>
          <w:szCs w:val="22"/>
          <w:lang w:eastAsia="uk-UA"/>
          <w14:ligatures w14:val="none"/>
        </w:rPr>
        <w:t xml:space="preserve"> </w:t>
      </w:r>
      <w:r w:rsidRPr="009A1B4E">
        <w:rPr>
          <w:rFonts w:ascii="Times New Roman" w:eastAsia="Times New Roman" w:hAnsi="Times New Roman" w:cs="Times New Roman"/>
          <w:color w:val="000000"/>
          <w:kern w:val="0"/>
          <w:sz w:val="22"/>
          <w:szCs w:val="22"/>
          <w:u w:val="single"/>
          <w:lang w:eastAsia="uk-UA"/>
          <w14:ligatures w14:val="none"/>
        </w:rPr>
        <w:t>розподілення? Яким чином перераховуються кошти отримувачам?</w:t>
      </w:r>
      <w:r w:rsidRPr="009A1B4E">
        <w:rPr>
          <w:rFonts w:ascii="Times New Roman" w:eastAsia="Times New Roman" w:hAnsi="Times New Roman" w:cs="Times New Roman"/>
          <w:color w:val="000000"/>
          <w:kern w:val="0"/>
          <w:sz w:val="22"/>
          <w:szCs w:val="22"/>
          <w:lang w:eastAsia="uk-UA"/>
          <w14:ligatures w14:val="none"/>
        </w:rPr>
        <w:t xml:space="preserve"> </w:t>
      </w:r>
    </w:p>
    <w:p w14:paraId="3C9225F7" w14:textId="77777777" w:rsidR="009A1B4E" w:rsidRPr="009A1B4E" w:rsidRDefault="009A1B4E" w:rsidP="009A1B4E">
      <w:pPr>
        <w:widowControl w:val="0"/>
        <w:pBdr>
          <w:top w:val="nil"/>
          <w:left w:val="nil"/>
          <w:bottom w:val="nil"/>
          <w:right w:val="nil"/>
          <w:between w:val="nil"/>
        </w:pBdr>
        <w:tabs>
          <w:tab w:val="left" w:pos="860"/>
        </w:tabs>
        <w:spacing w:after="0" w:line="240" w:lineRule="auto"/>
        <w:ind w:left="500" w:right="130"/>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Рішення щодо розподілення коштів в Організації приймаються колективно її учасниками, з урахуванням пріоритетності задач та реальних потреб фронту. Кошти перераховуються у безготівковій формі шляхом банківського переказу на рахунок отримувача.</w:t>
      </w:r>
    </w:p>
    <w:p w14:paraId="4DC74EA5" w14:textId="77777777" w:rsidR="009A1B4E" w:rsidRPr="009A1B4E" w:rsidRDefault="009A1B4E" w:rsidP="009A1B4E">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9"/>
          <w:szCs w:val="19"/>
          <w:lang w:eastAsia="uk-UA"/>
          <w14:ligatures w14:val="none"/>
        </w:rPr>
      </w:pPr>
    </w:p>
    <w:p w14:paraId="7220E894" w14:textId="77777777" w:rsidR="009A1B4E" w:rsidRPr="009A1B4E" w:rsidRDefault="009A1B4E" w:rsidP="009A1B4E">
      <w:pPr>
        <w:widowControl w:val="0"/>
        <w:numPr>
          <w:ilvl w:val="0"/>
          <w:numId w:val="1"/>
        </w:numPr>
        <w:pBdr>
          <w:top w:val="nil"/>
          <w:left w:val="nil"/>
          <w:bottom w:val="nil"/>
          <w:right w:val="nil"/>
          <w:between w:val="nil"/>
        </w:pBdr>
        <w:tabs>
          <w:tab w:val="left" w:pos="860"/>
        </w:tabs>
        <w:spacing w:after="0" w:line="240" w:lineRule="auto"/>
        <w:ind w:left="499" w:right="131"/>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Цільове використанню коштів Організації (на що використовуються)</w:t>
      </w:r>
      <w:r w:rsidRPr="009A1B4E">
        <w:rPr>
          <w:rFonts w:ascii="Times New Roman" w:eastAsia="Times New Roman" w:hAnsi="Times New Roman" w:cs="Times New Roman"/>
          <w:color w:val="000000"/>
          <w:kern w:val="0"/>
          <w:sz w:val="22"/>
          <w:szCs w:val="22"/>
          <w:lang w:eastAsia="uk-UA"/>
          <w14:ligatures w14:val="none"/>
        </w:rPr>
        <w:t xml:space="preserve">? </w:t>
      </w:r>
    </w:p>
    <w:p w14:paraId="73877165" w14:textId="172011B4" w:rsidR="009A1B4E" w:rsidRPr="009A1B4E" w:rsidRDefault="009A1B4E" w:rsidP="009A1B4E">
      <w:pPr>
        <w:widowControl w:val="0"/>
        <w:pBdr>
          <w:top w:val="nil"/>
          <w:left w:val="nil"/>
          <w:bottom w:val="nil"/>
          <w:right w:val="nil"/>
          <w:between w:val="nil"/>
        </w:pBdr>
        <w:tabs>
          <w:tab w:val="left" w:pos="860"/>
        </w:tabs>
        <w:spacing w:after="0" w:line="240" w:lineRule="auto"/>
        <w:ind w:left="499" w:right="131"/>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t>З 2022 року</w:t>
      </w:r>
      <w:r w:rsidRPr="009A1B4E">
        <w:rPr>
          <w:rFonts w:ascii="Times New Roman" w:eastAsia="Times New Roman" w:hAnsi="Times New Roman" w:cs="Times New Roman"/>
          <w:color w:val="000000"/>
          <w:kern w:val="0"/>
          <w:sz w:val="22"/>
          <w:szCs w:val="22"/>
          <w:u w:val="single"/>
          <w:lang w:eastAsia="uk-UA"/>
          <w14:ligatures w14:val="none"/>
        </w:rPr>
        <w:t xml:space="preserve"> </w:t>
      </w:r>
      <w:r>
        <w:rPr>
          <w:rFonts w:ascii="Times New Roman" w:eastAsia="Times New Roman" w:hAnsi="Times New Roman" w:cs="Times New Roman"/>
          <w:color w:val="000000"/>
          <w:kern w:val="0"/>
          <w:sz w:val="22"/>
          <w:szCs w:val="22"/>
          <w:u w:val="single"/>
          <w:lang w:eastAsia="uk-UA"/>
          <w14:ligatures w14:val="none"/>
        </w:rPr>
        <w:t>половина</w:t>
      </w:r>
      <w:r w:rsidRPr="009A1B4E">
        <w:rPr>
          <w:rFonts w:ascii="Times New Roman" w:eastAsia="Times New Roman" w:hAnsi="Times New Roman" w:cs="Times New Roman"/>
          <w:color w:val="000000"/>
          <w:kern w:val="0"/>
          <w:sz w:val="22"/>
          <w:szCs w:val="22"/>
          <w:lang w:eastAsia="uk-UA"/>
          <w14:ligatures w14:val="none"/>
        </w:rPr>
        <w:t xml:space="preserve"> кошт</w:t>
      </w:r>
      <w:r>
        <w:rPr>
          <w:rFonts w:ascii="Times New Roman" w:eastAsia="Times New Roman" w:hAnsi="Times New Roman" w:cs="Times New Roman"/>
          <w:color w:val="000000"/>
          <w:kern w:val="0"/>
          <w:sz w:val="22"/>
          <w:szCs w:val="22"/>
          <w:lang w:eastAsia="uk-UA"/>
          <w14:ligatures w14:val="none"/>
        </w:rPr>
        <w:t>ів</w:t>
      </w:r>
      <w:r w:rsidRPr="009A1B4E">
        <w:rPr>
          <w:rFonts w:ascii="Times New Roman" w:eastAsia="Times New Roman" w:hAnsi="Times New Roman" w:cs="Times New Roman"/>
          <w:color w:val="000000"/>
          <w:kern w:val="0"/>
          <w:sz w:val="22"/>
          <w:szCs w:val="22"/>
          <w:lang w:eastAsia="uk-UA"/>
          <w14:ligatures w14:val="none"/>
        </w:rPr>
        <w:t xml:space="preserve"> Організації витрачаються на підтримку Збройних Сил України та інших військових формувань у відповідності з основними цілями діяльності Організації відповідно до її статуту.</w:t>
      </w:r>
    </w:p>
    <w:p w14:paraId="2E1624CE" w14:textId="77777777" w:rsidR="009A1B4E" w:rsidRPr="009A1B4E" w:rsidRDefault="009A1B4E" w:rsidP="009A1B4E">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kern w:val="0"/>
          <w:sz w:val="19"/>
          <w:szCs w:val="19"/>
          <w:lang w:eastAsia="uk-UA"/>
          <w14:ligatures w14:val="none"/>
        </w:rPr>
      </w:pPr>
    </w:p>
    <w:p w14:paraId="228EC915" w14:textId="77777777" w:rsidR="009A1B4E" w:rsidRPr="009A1B4E" w:rsidRDefault="009A1B4E" w:rsidP="009A1B4E">
      <w:pPr>
        <w:widowControl w:val="0"/>
        <w:numPr>
          <w:ilvl w:val="0"/>
          <w:numId w:val="1"/>
        </w:numPr>
        <w:pBdr>
          <w:top w:val="nil"/>
          <w:left w:val="nil"/>
          <w:bottom w:val="nil"/>
          <w:right w:val="nil"/>
          <w:between w:val="nil"/>
        </w:pBdr>
        <w:tabs>
          <w:tab w:val="left" w:pos="860"/>
        </w:tabs>
        <w:spacing w:after="0" w:line="240" w:lineRule="auto"/>
        <w:ind w:right="130"/>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Частка готівки в надходженнях/видатках організації</w:t>
      </w:r>
      <w:r w:rsidRPr="009A1B4E">
        <w:rPr>
          <w:rFonts w:ascii="Times New Roman" w:eastAsia="Times New Roman" w:hAnsi="Times New Roman" w:cs="Times New Roman"/>
          <w:color w:val="000000"/>
          <w:kern w:val="0"/>
          <w:sz w:val="22"/>
          <w:szCs w:val="22"/>
          <w:lang w:eastAsia="uk-UA"/>
          <w14:ligatures w14:val="none"/>
        </w:rPr>
        <w:t xml:space="preserve">. </w:t>
      </w:r>
    </w:p>
    <w:p w14:paraId="5AC4E0BA" w14:textId="77777777" w:rsidR="009A1B4E" w:rsidRPr="009A1B4E" w:rsidRDefault="009A1B4E" w:rsidP="009A1B4E">
      <w:pPr>
        <w:widowControl w:val="0"/>
        <w:pBdr>
          <w:top w:val="nil"/>
          <w:left w:val="nil"/>
          <w:bottom w:val="nil"/>
          <w:right w:val="nil"/>
          <w:between w:val="nil"/>
        </w:pBdr>
        <w:tabs>
          <w:tab w:val="left" w:pos="860"/>
        </w:tabs>
        <w:spacing w:after="0" w:line="240" w:lineRule="auto"/>
        <w:ind w:left="500" w:right="130"/>
        <w:jc w:val="both"/>
        <w:rPr>
          <w:rFonts w:ascii="Times New Roman" w:eastAsia="Times New Roman" w:hAnsi="Times New Roman" w:cs="Times New Roman"/>
          <w:kern w:val="0"/>
          <w:sz w:val="22"/>
          <w:szCs w:val="22"/>
          <w:lang w:eastAsia="uk-UA"/>
          <w14:ligatures w14:val="none"/>
        </w:rPr>
      </w:pPr>
      <w:r w:rsidRPr="009A1B4E">
        <w:rPr>
          <w:rFonts w:ascii="Times New Roman" w:eastAsia="Times New Roman" w:hAnsi="Times New Roman" w:cs="Times New Roman"/>
          <w:color w:val="000000"/>
          <w:kern w:val="0"/>
          <w:sz w:val="22"/>
          <w:szCs w:val="22"/>
          <w:lang w:eastAsia="uk-UA"/>
          <w14:ligatures w14:val="none"/>
        </w:rPr>
        <w:lastRenderedPageBreak/>
        <w:t>Організація не планує використовувати готівкові кошти.</w:t>
      </w:r>
    </w:p>
    <w:p w14:paraId="4DEE1EF4" w14:textId="77777777" w:rsidR="009A1B4E" w:rsidRPr="009A1B4E" w:rsidRDefault="009A1B4E" w:rsidP="009A1B4E">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9"/>
          <w:szCs w:val="19"/>
          <w:lang w:eastAsia="uk-UA"/>
          <w14:ligatures w14:val="none"/>
        </w:rPr>
      </w:pPr>
    </w:p>
    <w:p w14:paraId="4326593F" w14:textId="77777777" w:rsidR="009A1B4E" w:rsidRPr="009A1B4E" w:rsidRDefault="009A1B4E" w:rsidP="009A1B4E">
      <w:pPr>
        <w:widowControl w:val="0"/>
        <w:numPr>
          <w:ilvl w:val="0"/>
          <w:numId w:val="1"/>
        </w:numPr>
        <w:pBdr>
          <w:top w:val="nil"/>
          <w:left w:val="nil"/>
          <w:bottom w:val="nil"/>
          <w:right w:val="nil"/>
          <w:between w:val="nil"/>
        </w:pBdr>
        <w:tabs>
          <w:tab w:val="left" w:pos="860"/>
        </w:tabs>
        <w:spacing w:before="1" w:after="0" w:line="240" w:lineRule="auto"/>
        <w:ind w:right="131"/>
        <w:jc w:val="both"/>
        <w:rPr>
          <w:rFonts w:ascii="Times New Roman" w:eastAsia="Times New Roman" w:hAnsi="Times New Roman" w:cs="Times New Roman"/>
          <w:color w:val="000000"/>
          <w:kern w:val="0"/>
          <w:sz w:val="20"/>
          <w:szCs w:val="20"/>
          <w:lang w:eastAsia="uk-UA"/>
          <w14:ligatures w14:val="none"/>
        </w:rPr>
      </w:pPr>
      <w:r w:rsidRPr="009A1B4E">
        <w:rPr>
          <w:rFonts w:ascii="Times New Roman" w:eastAsia="Times New Roman" w:hAnsi="Times New Roman" w:cs="Times New Roman"/>
          <w:color w:val="000000"/>
          <w:kern w:val="0"/>
          <w:sz w:val="22"/>
          <w:szCs w:val="22"/>
          <w:u w:val="single"/>
          <w:lang w:eastAsia="uk-UA"/>
          <w14:ligatures w14:val="none"/>
        </w:rPr>
        <w:t>Веб-сайт чи інші джерела, де буде розміщена інформація про Організацію</w:t>
      </w:r>
      <w:r w:rsidRPr="009A1B4E">
        <w:rPr>
          <w:rFonts w:ascii="Times New Roman" w:eastAsia="Times New Roman" w:hAnsi="Times New Roman" w:cs="Times New Roman"/>
          <w:color w:val="000000"/>
          <w:kern w:val="0"/>
          <w:sz w:val="22"/>
          <w:szCs w:val="22"/>
          <w:lang w:eastAsia="uk-UA"/>
          <w14:ligatures w14:val="none"/>
        </w:rPr>
        <w:t>. Офіційний веб-ресурс Організації:</w:t>
      </w:r>
      <w:r w:rsidRPr="009A1B4E">
        <w:rPr>
          <w:rFonts w:ascii="Times New Roman" w:eastAsia="Times New Roman" w:hAnsi="Times New Roman" w:cs="Times New Roman"/>
          <w:color w:val="0563C1"/>
          <w:kern w:val="0"/>
          <w:sz w:val="22"/>
          <w:szCs w:val="22"/>
          <w:lang w:eastAsia="uk-UA"/>
          <w14:ligatures w14:val="none"/>
        </w:rPr>
        <w:t xml:space="preserve"> www.rol.org.ua</w:t>
      </w:r>
    </w:p>
    <w:p w14:paraId="313AA13A" w14:textId="77777777" w:rsidR="009A1B4E" w:rsidRPr="009A1B4E" w:rsidRDefault="009A1B4E" w:rsidP="009A1B4E">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lang w:eastAsia="uk-UA"/>
          <w14:ligatures w14:val="none"/>
        </w:rPr>
      </w:pPr>
    </w:p>
    <w:p w14:paraId="3147F1A8" w14:textId="77777777" w:rsidR="009A1B4E" w:rsidRPr="009A1B4E" w:rsidRDefault="009A1B4E" w:rsidP="009A1B4E">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kern w:val="0"/>
          <w:sz w:val="20"/>
          <w:szCs w:val="20"/>
          <w:lang w:eastAsia="uk-UA"/>
          <w14:ligatures w14:val="none"/>
        </w:rPr>
      </w:pPr>
    </w:p>
    <w:p w14:paraId="300E8DBA" w14:textId="77777777" w:rsidR="009A1B4E" w:rsidRPr="009A1B4E" w:rsidRDefault="009A1B4E" w:rsidP="009A1B4E">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kern w:val="0"/>
          <w:sz w:val="19"/>
          <w:szCs w:val="19"/>
          <w:lang w:eastAsia="uk-UA"/>
          <w14:ligatures w14:val="none"/>
        </w:rPr>
      </w:pPr>
    </w:p>
    <w:p w14:paraId="3817CA95" w14:textId="395FEE4A" w:rsidR="00C434FA" w:rsidRDefault="009A1B4E" w:rsidP="009A1B4E">
      <w:r w:rsidRPr="009A1B4E">
        <w:rPr>
          <w:rFonts w:ascii="Times New Roman" w:eastAsia="Times New Roman" w:hAnsi="Times New Roman" w:cs="Times New Roman"/>
          <w:b/>
          <w:kern w:val="0"/>
          <w:sz w:val="22"/>
          <w:szCs w:val="22"/>
          <w:lang w:eastAsia="uk-UA"/>
          <w14:ligatures w14:val="none"/>
        </w:rPr>
        <w:t>Голова ________________________________________</w:t>
      </w:r>
    </w:p>
    <w:sectPr w:rsidR="00C434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EB2"/>
    <w:multiLevelType w:val="multilevel"/>
    <w:tmpl w:val="23502C12"/>
    <w:lvl w:ilvl="0">
      <w:start w:val="1"/>
      <w:numFmt w:val="decimal"/>
      <w:lvlText w:val="%1."/>
      <w:lvlJc w:val="left"/>
      <w:pPr>
        <w:ind w:left="500" w:hanging="360"/>
      </w:pPr>
      <w:rPr>
        <w:rFonts w:ascii="Times New Roman" w:eastAsia="Times New Roman" w:hAnsi="Times New Roman" w:cs="Times New Roman"/>
        <w:sz w:val="22"/>
        <w:szCs w:val="22"/>
      </w:rPr>
    </w:lvl>
    <w:lvl w:ilvl="1">
      <w:numFmt w:val="bullet"/>
      <w:lvlText w:val="•"/>
      <w:lvlJc w:val="left"/>
      <w:pPr>
        <w:ind w:left="1380" w:hanging="360"/>
      </w:pPr>
    </w:lvl>
    <w:lvl w:ilvl="2">
      <w:numFmt w:val="bullet"/>
      <w:lvlText w:val="•"/>
      <w:lvlJc w:val="left"/>
      <w:pPr>
        <w:ind w:left="2260" w:hanging="360"/>
      </w:pPr>
    </w:lvl>
    <w:lvl w:ilvl="3">
      <w:numFmt w:val="bullet"/>
      <w:lvlText w:val="•"/>
      <w:lvlJc w:val="left"/>
      <w:pPr>
        <w:ind w:left="3140" w:hanging="360"/>
      </w:pPr>
    </w:lvl>
    <w:lvl w:ilvl="4">
      <w:numFmt w:val="bullet"/>
      <w:lvlText w:val="•"/>
      <w:lvlJc w:val="left"/>
      <w:pPr>
        <w:ind w:left="4020" w:hanging="360"/>
      </w:pPr>
    </w:lvl>
    <w:lvl w:ilvl="5">
      <w:numFmt w:val="bullet"/>
      <w:lvlText w:val="•"/>
      <w:lvlJc w:val="left"/>
      <w:pPr>
        <w:ind w:left="4900" w:hanging="360"/>
      </w:pPr>
    </w:lvl>
    <w:lvl w:ilvl="6">
      <w:numFmt w:val="bullet"/>
      <w:lvlText w:val="•"/>
      <w:lvlJc w:val="left"/>
      <w:pPr>
        <w:ind w:left="5780" w:hanging="360"/>
      </w:pPr>
    </w:lvl>
    <w:lvl w:ilvl="7">
      <w:numFmt w:val="bullet"/>
      <w:lvlText w:val="•"/>
      <w:lvlJc w:val="left"/>
      <w:pPr>
        <w:ind w:left="6660" w:hanging="360"/>
      </w:pPr>
    </w:lvl>
    <w:lvl w:ilvl="8">
      <w:numFmt w:val="bullet"/>
      <w:lvlText w:val="•"/>
      <w:lvlJc w:val="left"/>
      <w:pPr>
        <w:ind w:left="7540" w:hanging="360"/>
      </w:pPr>
    </w:lvl>
  </w:abstractNum>
  <w:num w:numId="1" w16cid:durableId="210306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4E"/>
    <w:rsid w:val="002B221A"/>
    <w:rsid w:val="006B1104"/>
    <w:rsid w:val="0085204A"/>
    <w:rsid w:val="009A1B4E"/>
    <w:rsid w:val="00C434FA"/>
    <w:rsid w:val="00E766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C446"/>
  <w15:chartTrackingRefBased/>
  <w15:docId w15:val="{462FB3FA-0798-4314-BFA1-2EB6F41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1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A1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A1B4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A1B4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A1B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A1B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1B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1B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1B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B4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A1B4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A1B4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A1B4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A1B4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A1B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1B4E"/>
    <w:rPr>
      <w:rFonts w:eastAsiaTheme="majorEastAsia" w:cstheme="majorBidi"/>
      <w:color w:val="595959" w:themeColor="text1" w:themeTint="A6"/>
    </w:rPr>
  </w:style>
  <w:style w:type="character" w:customStyle="1" w:styleId="80">
    <w:name w:val="Заголовок 8 Знак"/>
    <w:basedOn w:val="a0"/>
    <w:link w:val="8"/>
    <w:uiPriority w:val="9"/>
    <w:semiHidden/>
    <w:rsid w:val="009A1B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1B4E"/>
    <w:rPr>
      <w:rFonts w:eastAsiaTheme="majorEastAsia" w:cstheme="majorBidi"/>
      <w:color w:val="272727" w:themeColor="text1" w:themeTint="D8"/>
    </w:rPr>
  </w:style>
  <w:style w:type="paragraph" w:styleId="a3">
    <w:name w:val="Title"/>
    <w:basedOn w:val="a"/>
    <w:next w:val="a"/>
    <w:link w:val="a4"/>
    <w:uiPriority w:val="10"/>
    <w:qFormat/>
    <w:rsid w:val="009A1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1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B4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1B4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1B4E"/>
    <w:pPr>
      <w:spacing w:before="160"/>
      <w:jc w:val="center"/>
    </w:pPr>
    <w:rPr>
      <w:i/>
      <w:iCs/>
      <w:color w:val="404040" w:themeColor="text1" w:themeTint="BF"/>
    </w:rPr>
  </w:style>
  <w:style w:type="character" w:customStyle="1" w:styleId="22">
    <w:name w:val="Цитата 2 Знак"/>
    <w:basedOn w:val="a0"/>
    <w:link w:val="21"/>
    <w:uiPriority w:val="29"/>
    <w:rsid w:val="009A1B4E"/>
    <w:rPr>
      <w:i/>
      <w:iCs/>
      <w:color w:val="404040" w:themeColor="text1" w:themeTint="BF"/>
    </w:rPr>
  </w:style>
  <w:style w:type="paragraph" w:styleId="a7">
    <w:name w:val="List Paragraph"/>
    <w:basedOn w:val="a"/>
    <w:uiPriority w:val="34"/>
    <w:qFormat/>
    <w:rsid w:val="009A1B4E"/>
    <w:pPr>
      <w:ind w:left="720"/>
      <w:contextualSpacing/>
    </w:pPr>
  </w:style>
  <w:style w:type="character" w:styleId="a8">
    <w:name w:val="Intense Emphasis"/>
    <w:basedOn w:val="a0"/>
    <w:uiPriority w:val="21"/>
    <w:qFormat/>
    <w:rsid w:val="009A1B4E"/>
    <w:rPr>
      <w:i/>
      <w:iCs/>
      <w:color w:val="0F4761" w:themeColor="accent1" w:themeShade="BF"/>
    </w:rPr>
  </w:style>
  <w:style w:type="paragraph" w:styleId="a9">
    <w:name w:val="Intense Quote"/>
    <w:basedOn w:val="a"/>
    <w:next w:val="a"/>
    <w:link w:val="aa"/>
    <w:uiPriority w:val="30"/>
    <w:qFormat/>
    <w:rsid w:val="009A1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A1B4E"/>
    <w:rPr>
      <w:i/>
      <w:iCs/>
      <w:color w:val="0F4761" w:themeColor="accent1" w:themeShade="BF"/>
    </w:rPr>
  </w:style>
  <w:style w:type="character" w:styleId="ab">
    <w:name w:val="Intense Reference"/>
    <w:basedOn w:val="a0"/>
    <w:uiPriority w:val="32"/>
    <w:qFormat/>
    <w:rsid w:val="009A1B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1021</Words>
  <Characters>7305</Characters>
  <Application>Microsoft Office Word</Application>
  <DocSecurity>0</DocSecurity>
  <Lines>152</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Спорников</dc:creator>
  <cp:keywords/>
  <dc:description/>
  <cp:lastModifiedBy>Олег Спорников</cp:lastModifiedBy>
  <cp:revision>2</cp:revision>
  <cp:lastPrinted>2025-03-18T09:14:00Z</cp:lastPrinted>
  <dcterms:created xsi:type="dcterms:W3CDTF">2025-03-18T09:04:00Z</dcterms:created>
  <dcterms:modified xsi:type="dcterms:W3CDTF">2025-03-18T09:22:00Z</dcterms:modified>
</cp:coreProperties>
</file>